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spacing w:before="240" w:after="120"/>
        <w:ind w:left="0" w:right="0" w:hanging="0"/>
        <w:rPr>
          <w:rFonts w:ascii="Amatic SC" w:hAnsi="Amatic SC"/>
          <w:b w:val="false"/>
          <w:i w:val="false"/>
          <w:caps w:val="false"/>
          <w:smallCaps w:val="false"/>
          <w:color w:val="333333"/>
          <w:spacing w:val="0"/>
        </w:rPr>
      </w:pPr>
      <w:r>
        <w:rPr>
          <w:rFonts w:ascii="Amatic SC" w:hAnsi="Amatic SC"/>
          <w:b w:val="false"/>
          <w:i w:val="false"/>
          <w:caps w:val="false"/>
          <w:smallCaps w:val="false"/>
          <w:color w:val="333333"/>
          <w:spacing w:val="0"/>
        </w:rPr>
        <w:t>Подпрограмма «Развитие малого и среднего предпринимательства» в Республике Адыгея</w:t>
      </w:r>
    </w:p>
    <w:p>
      <w:pPr>
        <w:pStyle w:val="Style15"/>
        <w:widowControl/>
        <w:ind w:left="0" w:right="0" w:hanging="0"/>
        <w:rPr>
          <w:rFonts w:ascii="Times New Roman" w:hAnsi="Times New Roman"/>
          <w:b w:val="false"/>
          <w:i/>
          <w:color w:val="333333"/>
          <w:spacing w:val="0"/>
          <w:sz w:val="30"/>
        </w:rPr>
      </w:pPr>
      <w:r>
        <w:rPr>
          <w:rFonts w:ascii="Times New Roman" w:hAnsi="Times New Roman"/>
          <w:b w:val="false"/>
          <w:i/>
          <w:color w:val="333333"/>
          <w:spacing w:val="0"/>
          <w:sz w:val="30"/>
        </w:rPr>
        <w:t>Подпрограмма направлена на увеличение доли субъектов малого и среднего предпринимательства в экономику Республики Адыгея в период с 2014 - 2018 гг.</w:t>
      </w:r>
    </w:p>
    <w:p>
      <w:pPr>
        <w:pStyle w:val="Style15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Министерство экономического развития и торговли Республики Адыгея является ответственным исполнителем программы.Участники подпрограммы - Министерство экономического развития и торговли Республики Адыгея и Комитет Республики Адыгея по имущественным отношениям.</w:t>
      </w:r>
    </w:p>
    <w:p>
      <w:pPr>
        <w:pStyle w:val="2"/>
        <w:rPr>
          <w:b/>
          <w:b/>
          <w:bCs/>
          <w:caps w:val="false"/>
          <w:smallCaps w:val="false"/>
          <w:color w:val="333333"/>
          <w:spacing w:val="0"/>
        </w:rPr>
      </w:pPr>
      <w:r>
        <w:rPr>
          <w:rFonts w:ascii="Amatic SC" w:hAnsi="Amatic SC"/>
          <w:b/>
          <w:bCs/>
          <w:i w:val="false"/>
          <w:caps w:val="false"/>
          <w:smallCaps w:val="false"/>
          <w:color w:val="333333"/>
          <w:spacing w:val="0"/>
          <w:sz w:val="30"/>
        </w:rPr>
        <w:t>Задача подпрограммы</w:t>
      </w:r>
    </w:p>
    <w:p>
      <w:pPr>
        <w:pStyle w:val="2"/>
        <w:rPr/>
      </w:pPr>
      <w:r>
        <w:rPr>
          <w:caps w:val="false"/>
          <w:smallCaps w:val="false"/>
          <w:color w:val="333333"/>
          <w:spacing w:val="0"/>
        </w:rPr>
        <w:t xml:space="preserve">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обеспечение доступности </w:t>
        <w:br/>
        <w:t>инфраструктуры поддержки </w:t>
        <w:br/>
        <w:t>субъектов малого и среднего </w:t>
        <w:br/>
        <w:t>предпринимательства (далее МСП);</w:t>
      </w:r>
    </w:p>
    <w:p>
      <w:pPr>
        <w:pStyle w:val="2"/>
        <w:rPr/>
      </w:pPr>
      <w:r>
        <w:rPr>
          <w:caps w:val="false"/>
          <w:smallCaps w:val="false"/>
          <w:color w:val="333333"/>
          <w:spacing w:val="0"/>
        </w:rPr>
        <w:t xml:space="preserve">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повышение доступности финансовых </w:t>
        <w:br/>
        <w:t>ресурсов для субъектов МСП;</w:t>
      </w:r>
    </w:p>
    <w:p>
      <w:pPr>
        <w:pStyle w:val="2"/>
        <w:rPr/>
      </w:pPr>
      <w:r>
        <w:rPr>
          <w:caps w:val="false"/>
          <w:smallCaps w:val="false"/>
          <w:color w:val="333333"/>
          <w:spacing w:val="0"/>
        </w:rPr>
        <w:t xml:space="preserve">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повышение доступности </w:t>
        <w:br/>
        <w:t>бизнес-образования </w:t>
        <w:br/>
        <w:t>для субъектов МСП</w:t>
        <w:br/>
        <w:t>и </w:t>
      </w:r>
      <w:hyperlink r:id="rId2" w:tgtFrame="_blank">
        <w:r>
          <w:rPr>
            <w:rStyle w:val="Style12"/>
            <w:rFonts w:ascii="Times New Roman" w:hAnsi="Times New Roman"/>
            <w:b w:val="false"/>
            <w:i w:val="false"/>
            <w:caps w:val="false"/>
            <w:smallCaps w:val="false"/>
            <w:color w:val="333333"/>
            <w:spacing w:val="0"/>
            <w:sz w:val="30"/>
          </w:rPr>
          <w:t>пропаганда предпринимательства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.</w:t>
      </w:r>
    </w:p>
    <w:p>
      <w:pPr>
        <w:pStyle w:val="2"/>
        <w:widowControl/>
        <w:ind w:left="0" w:right="0" w:hanging="0"/>
        <w:rPr>
          <w:rFonts w:ascii="Amatic SC" w:hAnsi="Amatic SC"/>
          <w:b/>
          <w:b/>
          <w:bCs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Amatic SC" w:hAnsi="Amatic SC"/>
          <w:b/>
          <w:bCs/>
          <w:i w:val="false"/>
          <w:caps w:val="false"/>
          <w:smallCaps w:val="false"/>
          <w:color w:val="333333"/>
          <w:spacing w:val="0"/>
          <w:sz w:val="30"/>
        </w:rPr>
        <w:t>Финансирование программы:</w:t>
      </w:r>
    </w:p>
    <w:p>
      <w:pPr>
        <w:pStyle w:val="Style15"/>
        <w:widowControl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Общий объем финансирования подпрограммы с учетом прогнозной оценки привлечения средств федерального бюджета составляет 573010,00 тыс. рублей,</w:t>
      </w:r>
    </w:p>
    <w:p>
      <w:pPr>
        <w:pStyle w:val="Style15"/>
        <w:widowControl/>
        <w:ind w:left="0" w:right="0" w:hanging="0"/>
        <w:rPr/>
      </w:pPr>
      <w:r>
        <w:rPr>
          <w:caps w:val="false"/>
          <w:smallCaps w:val="false"/>
          <w:color w:val="333333"/>
          <w:spacing w:val="0"/>
        </w:rPr>
        <w:t xml:space="preserve">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в том числе за счет средств федерального бюджета</w:t>
        <w:br/>
        <w:t>(прогнозная оценка) - 300000,00 тыс. руб.</w:t>
      </w:r>
    </w:p>
    <w:p>
      <w:pPr>
        <w:pStyle w:val="Style15"/>
        <w:widowControl/>
        <w:ind w:left="0" w:right="0" w:hanging="0"/>
        <w:rPr/>
      </w:pPr>
      <w:r>
        <w:rPr>
          <w:caps w:val="false"/>
          <w:smallCaps w:val="false"/>
          <w:color w:val="333333"/>
          <w:spacing w:val="0"/>
        </w:rPr>
        <w:t xml:space="preserve">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за счет средств республиканского бюджета Республики Адыгея</w:t>
        <w:br/>
        <w:t>- 273010,00 тыс. руб.</w:t>
      </w:r>
    </w:p>
    <w:p>
      <w:pPr>
        <w:pStyle w:val="2"/>
        <w:widowControl/>
        <w:ind w:left="0" w:right="0" w:hanging="0"/>
        <w:rPr>
          <w:rFonts w:ascii="Amatic SC" w:hAnsi="Amatic SC"/>
          <w:b/>
          <w:b/>
          <w:bCs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Amatic SC" w:hAnsi="Amatic SC"/>
          <w:b/>
          <w:bCs/>
          <w:i w:val="false"/>
          <w:caps w:val="false"/>
          <w:smallCaps w:val="false"/>
          <w:color w:val="333333"/>
          <w:spacing w:val="0"/>
          <w:sz w:val="30"/>
        </w:rPr>
        <w:t>Основные мероприятия подпрограммы</w:t>
      </w:r>
    </w:p>
    <w:p>
      <w:pPr>
        <w:pStyle w:val="Style15"/>
        <w:widowControl/>
        <w:ind w:left="0" w:right="0" w:hanging="0"/>
        <w:rPr/>
      </w:pP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Стимулирование и поддержка предпринимательской активности населения</w:t>
      </w:r>
    </w:p>
    <w:p>
      <w:pPr>
        <w:pStyle w:val="Style15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Предоставление грантов начинающим предпринимателям для открытия собственного дела, субсидирование части затрат на уплату процентов по лизинговым договорам, организацию разработки и издания информационных и методических материалов по вопросам МСП, организацию подготовки и переподготовки кадров для субъектов МСП и специалистов организаций инфраструктуры поддержки МСП.</w:t>
      </w:r>
    </w:p>
    <w:p>
      <w:pPr>
        <w:pStyle w:val="Style15"/>
        <w:widowControl/>
        <w:ind w:left="0" w:right="0" w:hanging="0"/>
        <w:rPr/>
      </w:pP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Создание и развитие инфраструктуры поддержки субъектов МСП</w:t>
      </w:r>
    </w:p>
    <w:p>
      <w:pPr>
        <w:pStyle w:val="Style15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Подразумевает создание инфраструктуры поддержки и развитие процессов бизнес-инкубирования, формирование перечня имущества для предоставления в аренду субъектам МСП и организациям инфраструктуры поддержки МСП.</w:t>
      </w:r>
    </w:p>
    <w:p>
      <w:pPr>
        <w:pStyle w:val="Style15"/>
        <w:widowControl/>
        <w:ind w:left="0" w:right="0" w:hanging="0"/>
        <w:rPr/>
      </w:pP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Содействие развитию модернизации производства и инновационному предпринимательству</w:t>
      </w:r>
    </w:p>
    <w:p>
      <w:pPr>
        <w:pStyle w:val="Style15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Предусматривает субсидирование части затрат, связанных с приобретением оборудования в целях модернизации производства, субсидирование части затрат на уплату первого взноса при заключении договора лизинга, предоставление субсидий на технологическое присоединение к объектам электросетевого хозяйства, предоставление грантов на уплату первого взноса при заключении договора лизинга, предоставление субсидий действующим инновационным предприятиям на компенсацию понесенных затрат, предоставление грантов на реализацию молодежных инновационных идей и проектов.</w:t>
      </w:r>
    </w:p>
    <w:p>
      <w:pPr>
        <w:pStyle w:val="Style15"/>
        <w:widowControl/>
        <w:ind w:left="0" w:right="0" w:hanging="0"/>
        <w:rPr/>
      </w:pPr>
      <w:r>
        <w:rPr>
          <w:rStyle w:val="Style13"/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30"/>
        </w:rPr>
        <w:t>Формирование имущества некоммерческой организации </w:t>
        <w:br/>
        <w:t>«Фонд развития предпринимательства Республики Адыгея» в целях обеспечения его деятельности.</w:t>
      </w:r>
    </w:p>
    <w:p>
      <w:pPr>
        <w:pStyle w:val="Style15"/>
        <w:widowControl/>
        <w:ind w:left="0" w:right="0" w:hanging="0"/>
        <w:rPr/>
      </w:pPr>
      <w:r>
        <w:rPr>
          <w:rStyle w:val="Style13"/>
          <w:rFonts w:ascii="Times New Roman" w:hAnsi="Times New Roman"/>
          <w:b w:val="false"/>
          <w:bCs/>
          <w:i w:val="false"/>
          <w:caps w:val="false"/>
          <w:smallCaps w:val="false"/>
          <w:color w:val="333333"/>
          <w:spacing w:val="0"/>
          <w:sz w:val="30"/>
        </w:rPr>
        <w:t>Подразумевает микрокредитование субъектов МСП, капитализацию гарантийного фонда, развитие и обеспечение деятельности специализированного сайта «Малый бизнес Республики Адыгея», организацию семинаров, совещаний, конференций по вопросам развития малого и среднего предпринимательства.</w:t>
      </w:r>
    </w:p>
    <w:p>
      <w:pPr>
        <w:pStyle w:val="2"/>
        <w:widowControl/>
        <w:ind w:left="0" w:right="0" w:hanging="0"/>
        <w:rPr>
          <w:rFonts w:ascii="Amatic SC" w:hAnsi="Amatic SC"/>
          <w:b/>
          <w:b/>
          <w:bCs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Amatic SC" w:hAnsi="Amatic SC"/>
          <w:b/>
          <w:bCs/>
          <w:i w:val="false"/>
          <w:caps w:val="false"/>
          <w:smallCaps w:val="false"/>
          <w:color w:val="333333"/>
          <w:spacing w:val="0"/>
          <w:sz w:val="30"/>
        </w:rPr>
        <w:t>Условия участия в подпрограмме</w:t>
      </w:r>
    </w:p>
    <w:p>
      <w:pPr>
        <w:pStyle w:val="Style15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Государственная поддержка субъектов МСП и организаций, образующих инфраструктуру поддержки субъектов МСП (далее - государственная поддержка), осуществляется в виде субсидий из республиканского бюджета Республики Адыгея в соответствии с требованиями части 2 статьи 16 Федерального закона от 24 июля 2007 года N 209-ФЗ «О развитии малого и среднего предпринимательства в РФ» (с последующими изменениями) (далее - Федеральный закон) со следующей процедурой, условиями и критериями предоставления.</w:t>
      </w:r>
    </w:p>
    <w:p>
      <w:pPr>
        <w:pStyle w:val="Style15"/>
        <w:widowControl/>
        <w:ind w:left="0" w:right="0" w:hanging="0"/>
        <w:rPr/>
      </w:pP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Условиями оказания государственной поддержки субъектам МСП являются:</w:t>
      </w:r>
    </w:p>
    <w:p>
      <w:pPr>
        <w:pStyle w:val="Style15"/>
        <w:widowControl/>
        <w:spacing w:before="0" w:after="0"/>
        <w:ind w:left="0" w:right="0" w:hanging="0"/>
        <w:jc w:val="center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соответствие критериям отнесения к субъектам МСП, определенным статьей 4 Федерального закона;</w:t>
      </w:r>
    </w:p>
    <w:p>
      <w:pPr>
        <w:pStyle w:val="Style15"/>
        <w:spacing w:before="0" w:after="0"/>
        <w:ind w:left="0" w:right="0" w:hanging="0"/>
        <w:rPr/>
      </w:pPr>
      <w:r>
        <w:rPr/>
      </w:r>
    </w:p>
    <w:p>
      <w:pPr>
        <w:pStyle w:val="Style15"/>
        <w:widowControl/>
        <w:spacing w:before="0" w:after="0"/>
        <w:ind w:left="0" w:right="0" w:hanging="0"/>
        <w:jc w:val="center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соответствие условиям статьи 14 Федерального закона;</w:t>
      </w:r>
    </w:p>
    <w:p>
      <w:pPr>
        <w:pStyle w:val="Style15"/>
        <w:spacing w:before="0" w:after="0"/>
        <w:ind w:left="0" w:right="0" w:hanging="0"/>
        <w:rPr/>
      </w:pPr>
      <w:r>
        <w:rPr/>
      </w:r>
    </w:p>
    <w:p>
      <w:pPr>
        <w:pStyle w:val="Style15"/>
        <w:widowControl/>
        <w:spacing w:before="0" w:after="0"/>
        <w:ind w:left="0" w:right="0" w:hanging="0"/>
        <w:jc w:val="center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отсутствие задолженности по налоговым платежам в бюджеты всех уровней бюджетной системы РФ;</w:t>
      </w:r>
    </w:p>
    <w:p>
      <w:pPr>
        <w:pStyle w:val="Style15"/>
        <w:spacing w:before="0" w:after="0"/>
        <w:ind w:left="0" w:right="0" w:hanging="0"/>
        <w:rPr/>
      </w:pPr>
      <w:r>
        <w:rPr/>
      </w:r>
    </w:p>
    <w:p>
      <w:pPr>
        <w:pStyle w:val="Style15"/>
        <w:widowControl/>
        <w:spacing w:before="0" w:after="0"/>
        <w:ind w:left="0" w:right="0" w:hanging="0"/>
        <w:jc w:val="center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предоставление полного пакета документов, перечень которых утверждается Министерством.</w:t>
      </w:r>
    </w:p>
    <w:p>
      <w:pPr>
        <w:pStyle w:val="Style15"/>
        <w:widowControl/>
        <w:ind w:left="0" w:right="0" w:hanging="0"/>
        <w:rPr/>
      </w:pP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Условиями оказания поддержки организациям, образующим инфраструктуру поддержки субъектов МСП, являются:</w:t>
      </w:r>
    </w:p>
    <w:p>
      <w:pPr>
        <w:pStyle w:val="Style15"/>
        <w:widowControl/>
        <w:spacing w:before="0" w:after="0"/>
        <w:ind w:left="0" w:right="0" w:hanging="0"/>
        <w:jc w:val="center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соответствие критериям отнесения к организациям, образующим инфраструктуру поддержки субъектов МСП, определенным статьей 15 Федерального закона;</w:t>
      </w:r>
    </w:p>
    <w:p>
      <w:pPr>
        <w:pStyle w:val="Style15"/>
        <w:spacing w:before="0" w:after="0"/>
        <w:ind w:left="0" w:right="0" w:hanging="0"/>
        <w:rPr/>
      </w:pPr>
      <w:r>
        <w:rPr/>
      </w:r>
    </w:p>
    <w:p>
      <w:pPr>
        <w:pStyle w:val="Style15"/>
        <w:widowControl/>
        <w:spacing w:before="0" w:after="0"/>
        <w:ind w:left="0" w:right="0" w:hanging="0"/>
        <w:jc w:val="center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соответствие условиям статьи 14 Федерального закона;</w:t>
      </w:r>
    </w:p>
    <w:p>
      <w:pPr>
        <w:pStyle w:val="Style15"/>
        <w:spacing w:before="0" w:after="0"/>
        <w:ind w:left="0" w:right="0" w:hanging="0"/>
        <w:rPr/>
      </w:pPr>
      <w:r>
        <w:rPr/>
      </w:r>
    </w:p>
    <w:p>
      <w:pPr>
        <w:pStyle w:val="Style15"/>
        <w:widowControl/>
        <w:spacing w:before="0" w:after="0"/>
        <w:ind w:left="0" w:right="0" w:hanging="0"/>
        <w:jc w:val="center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отсутствие задолженности по налоговым платежам в бюджеты всех уровней бюджетной системы РФ;</w:t>
      </w:r>
    </w:p>
    <w:p>
      <w:pPr>
        <w:pStyle w:val="Style15"/>
        <w:spacing w:before="0" w:after="0"/>
        <w:ind w:left="0" w:right="0" w:hanging="0"/>
        <w:rPr/>
      </w:pPr>
      <w:r>
        <w:rPr/>
      </w:r>
    </w:p>
    <w:p>
      <w:pPr>
        <w:pStyle w:val="Style15"/>
        <w:widowControl/>
        <w:spacing w:before="0" w:after="0"/>
        <w:ind w:left="0" w:right="0" w:hanging="0"/>
        <w:jc w:val="center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предоставление полного пакета документов, перечень которых утверждается Министерством.</w:t>
      </w:r>
    </w:p>
    <w:p>
      <w:pPr>
        <w:pStyle w:val="Style15"/>
        <w:widowControl/>
        <w:ind w:left="0" w:right="0" w:hanging="0"/>
        <w:rPr/>
      </w:pPr>
      <w:r>
        <w:rPr>
          <w:rStyle w:val="Style13"/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30"/>
        </w:rPr>
        <w:t xml:space="preserve">Условиями предоставления субсидий в виде грантов на реализацию молодежных инновационных проектов в целях вовлечения молодежи в предпринимательскую деятельность являются: </w:t>
      </w:r>
      <w:r>
        <w:rPr>
          <w:rStyle w:val="Style13"/>
          <w:rFonts w:ascii="Times New Roman" w:hAnsi="Times New Roman"/>
          <w:b w:val="false"/>
          <w:bCs/>
          <w:i w:val="false"/>
          <w:caps w:val="false"/>
          <w:smallCaps w:val="false"/>
          <w:color w:val="333333"/>
          <w:spacing w:val="0"/>
          <w:sz w:val="30"/>
        </w:rPr>
        <w:t>инновационный проект, представленный физическим лицом в возрасте до 30 лет либо юридическим лицом, в уставном (складочном) капитале которого доля, принадлежащая лицам в возрасте до 30 лет, составляет не менее 50%;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jc w:val="center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экономическая эффективность инновационного проекта;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jc w:val="center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социальная эффективность инновационного проекта (количество создаваемых рабочих мест).</w:t>
      </w:r>
    </w:p>
    <w:p>
      <w:pPr>
        <w:pStyle w:val="Style15"/>
        <w:widowControl/>
        <w:ind w:left="0" w:right="0" w:hanging="0"/>
        <w:rPr/>
      </w:pP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При предоставлении государственной поддержки учитываются следующие критерии:</w:t>
      </w:r>
    </w:p>
    <w:p>
      <w:pPr>
        <w:pStyle w:val="Style15"/>
        <w:widowControl/>
        <w:spacing w:before="0" w:after="0"/>
        <w:ind w:left="0" w:right="0" w:hanging="0"/>
        <w:jc w:val="center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создание новых рабочих мест;</w:t>
      </w:r>
    </w:p>
    <w:p>
      <w:pPr>
        <w:pStyle w:val="Style15"/>
        <w:spacing w:before="0" w:after="0"/>
        <w:ind w:left="0" w:right="0" w:hanging="0"/>
        <w:rPr/>
      </w:pPr>
      <w:r>
        <w:rPr/>
      </w:r>
    </w:p>
    <w:p>
      <w:pPr>
        <w:pStyle w:val="Style15"/>
        <w:widowControl/>
        <w:spacing w:before="0" w:after="0"/>
        <w:ind w:left="0" w:right="0" w:hanging="0"/>
        <w:jc w:val="center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увеличение объемов производства товаров и оказания услуг;</w:t>
      </w:r>
    </w:p>
    <w:p>
      <w:pPr>
        <w:pStyle w:val="Style15"/>
        <w:spacing w:before="0" w:after="0"/>
        <w:ind w:left="0" w:right="0" w:hanging="0"/>
        <w:rPr/>
      </w:pPr>
      <w:r>
        <w:rPr/>
      </w:r>
    </w:p>
    <w:p>
      <w:pPr>
        <w:pStyle w:val="Style15"/>
        <w:widowControl/>
        <w:spacing w:before="0" w:after="0"/>
        <w:ind w:left="0" w:right="0" w:hanging="0"/>
        <w:jc w:val="center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прирост налоговых отчислений в бюджеты всех уровней бюджетной системы РФ.</w:t>
      </w:r>
    </w:p>
    <w:p>
      <w:pPr>
        <w:pStyle w:val="Style15"/>
        <w:widowControl/>
        <w:ind w:left="0" w:right="0" w:hanging="0"/>
        <w:rPr/>
      </w:pP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При предоставлении государственной поддержки в форме грантов начинающим предпринимателям для открытия собственного дела учитываются следующие критерии:</w:t>
      </w:r>
    </w:p>
    <w:p>
      <w:pPr>
        <w:pStyle w:val="Style15"/>
        <w:widowControl/>
        <w:spacing w:before="0" w:after="0"/>
        <w:ind w:left="0" w:right="0" w:hanging="0"/>
        <w:jc w:val="center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сфера деятельности начинающего предпринимателя;</w:t>
      </w:r>
    </w:p>
    <w:p>
      <w:pPr>
        <w:pStyle w:val="Style15"/>
        <w:spacing w:before="0" w:after="0"/>
        <w:ind w:left="0" w:right="0" w:hanging="0"/>
        <w:rPr/>
      </w:pPr>
      <w:r>
        <w:rPr/>
      </w:r>
    </w:p>
    <w:p>
      <w:pPr>
        <w:pStyle w:val="Style15"/>
        <w:widowControl/>
        <w:spacing w:before="0" w:after="0"/>
        <w:ind w:left="0" w:right="0" w:hanging="0"/>
        <w:jc w:val="center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срок фактической деятельности начинающего предпринимателя;</w:t>
      </w:r>
    </w:p>
    <w:p>
      <w:pPr>
        <w:pStyle w:val="Style15"/>
        <w:spacing w:before="0" w:after="0"/>
        <w:ind w:left="0" w:right="0" w:hanging="0"/>
        <w:rPr/>
      </w:pPr>
      <w:r>
        <w:rPr/>
      </w:r>
    </w:p>
    <w:p>
      <w:pPr>
        <w:pStyle w:val="Style15"/>
        <w:widowControl/>
        <w:spacing w:before="0" w:after="0"/>
        <w:ind w:left="0" w:right="0" w:hanging="0"/>
        <w:jc w:val="center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степень проработки бизнес-плана начинающего предпринимателя, наличие информации для комплексной оценки перспектив его реализации;</w:t>
      </w:r>
    </w:p>
    <w:p>
      <w:pPr>
        <w:pStyle w:val="Style15"/>
        <w:spacing w:before="0" w:after="0"/>
        <w:ind w:left="0" w:right="0" w:hanging="0"/>
        <w:rPr/>
      </w:pPr>
      <w:r>
        <w:rPr/>
      </w:r>
    </w:p>
    <w:p>
      <w:pPr>
        <w:pStyle w:val="Style15"/>
        <w:widowControl/>
        <w:spacing w:before="0" w:after="0"/>
        <w:ind w:left="0" w:right="0" w:hanging="0"/>
        <w:jc w:val="center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окупаемость бизнес-плана начинающего предпринимателя;</w:t>
      </w:r>
    </w:p>
    <w:p>
      <w:pPr>
        <w:pStyle w:val="Style15"/>
        <w:spacing w:before="0" w:after="0"/>
        <w:ind w:left="0" w:right="0" w:hanging="0"/>
        <w:rPr/>
      </w:pPr>
      <w:r>
        <w:rPr/>
      </w:r>
    </w:p>
    <w:p>
      <w:pPr>
        <w:pStyle w:val="Style15"/>
        <w:widowControl/>
        <w:spacing w:before="0" w:after="0"/>
        <w:ind w:left="0" w:right="0" w:hanging="0"/>
        <w:jc w:val="center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отнесение начинающего предпринимателя до государственной регистрации предпринимательской деятельности к одной из следующих категорий граждан:</w:t>
      </w:r>
    </w:p>
    <w:p>
      <w:pPr>
        <w:pStyle w:val="Style15"/>
        <w:spacing w:before="0" w:after="0"/>
        <w:ind w:left="0" w:right="0" w:hanging="0"/>
        <w:rPr/>
      </w:pPr>
      <w:r>
        <w:rPr/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30"/>
        </w:rPr>
        <w:t>1</w:t>
      </w:r>
    </w:p>
    <w:p>
      <w:pPr>
        <w:pStyle w:val="Style15"/>
        <w:widowControl/>
        <w:spacing w:before="0" w:after="0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зарегистрированные безработные граждане;</w:t>
      </w:r>
    </w:p>
    <w:p>
      <w:pPr>
        <w:pStyle w:val="Style15"/>
        <w:spacing w:before="0" w:after="0"/>
        <w:ind w:left="0" w:right="0" w:hanging="0"/>
        <w:rPr/>
      </w:pPr>
      <w:r>
        <w:rPr/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30"/>
        </w:rPr>
        <w:t>2</w:t>
      </w:r>
    </w:p>
    <w:p>
      <w:pPr>
        <w:pStyle w:val="Style15"/>
        <w:widowControl/>
        <w:spacing w:before="0" w:after="0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работники, находящиеся под угрозой увольнения;</w:t>
      </w:r>
    </w:p>
    <w:p>
      <w:pPr>
        <w:pStyle w:val="Style15"/>
        <w:spacing w:before="0" w:after="0"/>
        <w:ind w:left="0" w:right="0" w:hanging="0"/>
        <w:rPr/>
      </w:pPr>
      <w:r>
        <w:rPr/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30"/>
        </w:rPr>
        <w:t>3</w:t>
      </w:r>
    </w:p>
    <w:p>
      <w:pPr>
        <w:pStyle w:val="Style15"/>
        <w:widowControl/>
        <w:spacing w:before="0" w:after="0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военнослужащие, уволенные в запас;</w:t>
      </w:r>
    </w:p>
    <w:p>
      <w:pPr>
        <w:pStyle w:val="Style15"/>
        <w:spacing w:before="0" w:after="0"/>
        <w:ind w:left="0" w:right="0" w:hanging="0"/>
        <w:rPr/>
      </w:pPr>
      <w:r>
        <w:rPr/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30"/>
        </w:rPr>
        <w:t>4</w:t>
      </w:r>
    </w:p>
    <w:p>
      <w:pPr>
        <w:pStyle w:val="Style15"/>
        <w:widowControl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молодежь в возрасте до 30 лет;</w:t>
      </w:r>
    </w:p>
    <w:p>
      <w:pPr>
        <w:pStyle w:val="Style15"/>
        <w:widowControl/>
        <w:spacing w:before="0" w:after="0"/>
        <w:ind w:left="0" w:right="0" w:hanging="0"/>
        <w:jc w:val="center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создание новых рабочих мест;</w:t>
      </w:r>
    </w:p>
    <w:p>
      <w:pPr>
        <w:pStyle w:val="Style15"/>
        <w:spacing w:before="0" w:after="0"/>
        <w:ind w:left="0" w:right="0" w:hanging="0"/>
        <w:rPr/>
      </w:pPr>
      <w:r>
        <w:rPr/>
      </w:r>
    </w:p>
    <w:p>
      <w:pPr>
        <w:pStyle w:val="Style15"/>
        <w:widowControl/>
        <w:spacing w:before="0" w:after="0"/>
        <w:ind w:left="0" w:right="0" w:hanging="0"/>
        <w:jc w:val="center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наличие помещения или земельного участка, необходимого для реализации проекта;</w:t>
      </w:r>
    </w:p>
    <w:p>
      <w:pPr>
        <w:pStyle w:val="Style15"/>
        <w:spacing w:before="0" w:after="0"/>
        <w:ind w:left="0" w:right="0" w:hanging="0"/>
        <w:rPr/>
      </w:pPr>
      <w:r>
        <w:rPr/>
      </w:r>
    </w:p>
    <w:p>
      <w:pPr>
        <w:pStyle w:val="Style15"/>
        <w:widowControl/>
        <w:spacing w:before="0" w:after="0"/>
        <w:ind w:left="0" w:right="0" w:hanging="0"/>
        <w:jc w:val="center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доля затрат на приобретение основных средств, связанных непосредственно с производственным процессом, от общего объема затрат, подлежащих возмещению за счет гранта.</w:t>
      </w:r>
    </w:p>
    <w:p>
      <w:pPr>
        <w:pStyle w:val="Style15"/>
        <w:widowControl/>
        <w:ind w:left="0" w:right="0" w:hanging="0"/>
        <w:rPr/>
      </w:pP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Для получения государственной поддержки субъекты МСП и организации, образующие инфраструктуру поддержки субъектов МСП, заинтересованные в получении государственной поддержки (далее - получатели субсидии), обращаются в Министерство с заявлением об оказании государственной поддержки с приложением документов.</w:t>
      </w:r>
    </w:p>
    <w:p>
      <w:pPr>
        <w:pStyle w:val="Normal"/>
        <w:widowControl/>
        <w:ind w:left="0" w:right="0" w:hanging="0"/>
        <w:rPr/>
      </w:pPr>
      <w:r>
        <w:rPr>
          <w:rStyle w:val="Style13"/>
          <w:rFonts w:ascii="Times New Roman" w:hAnsi="Times New Roman"/>
          <w:b w:val="false"/>
          <w:bCs/>
          <w:i w:val="false"/>
          <w:caps w:val="false"/>
          <w:smallCaps w:val="false"/>
          <w:color w:val="333333"/>
          <w:spacing w:val="0"/>
          <w:sz w:val="30"/>
        </w:rPr>
        <w:t>Министерство в течение 15 дней со дня </w:t>
        <w:br/>
        <w:t>получения заявления и приложенных к нему </w:t>
        <w:br/>
        <w:t>документов проводит их экспертизу и</w:t>
        <w:br/>
        <w:t>после направляет в Комиссию по вопросам </w:t>
        <w:br/>
        <w:t>государственной поддержки МСП.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jc w:val="center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Комиссия в течение 15 дней рассматривает </w:t>
        <w:br/>
        <w:t>представленные документы и принимает решение </w:t>
        <w:br/>
        <w:t>об оказании государственной поддержки </w:t>
        <w:br/>
        <w:t>или об отказе.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jc w:val="center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Отказ возможенв случаях, установленных статьей</w:t>
        <w:br/>
        <w:t>14 Федерального закона.</w:t>
      </w:r>
    </w:p>
    <w:p>
      <w:pPr>
        <w:pStyle w:val="Style15"/>
        <w:widowControl/>
        <w:ind w:left="0" w:right="0" w:hanging="0"/>
        <w:rPr/>
      </w:pPr>
      <w:r>
        <w:rPr>
          <w:rStyle w:val="Style13"/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30"/>
        </w:rPr>
        <w:t>Министерство:</w:t>
      </w:r>
    </w:p>
    <w:p>
      <w:pPr>
        <w:pStyle w:val="Normal"/>
        <w:widowControl/>
        <w:ind w:left="0" w:right="0" w:hanging="0"/>
        <w:rPr/>
      </w:pPr>
      <w:r>
        <w:rPr>
          <w:rStyle w:val="Style13"/>
          <w:rFonts w:ascii="Times New Roman" w:hAnsi="Times New Roman"/>
          <w:b w:val="false"/>
          <w:bCs/>
          <w:i w:val="false"/>
          <w:caps w:val="false"/>
          <w:smallCaps w:val="false"/>
          <w:color w:val="333333"/>
          <w:spacing w:val="0"/>
          <w:sz w:val="30"/>
        </w:rPr>
        <w:t>в течение 5 дней со дня принятия Комиссией решения об оказании </w:t>
        <w:br/>
        <w:t>государственной поддержки или об отказе в ней письменно информирует</w:t>
        <w:br/>
        <w:t>о принятом решении получателя субсидии;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jc w:val="center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в течение 10 дней со дня принятия Комиссией решения об оказании </w:t>
        <w:br/>
        <w:t>государственной поддержки заключает с получателем субсидии договор </w:t>
        <w:br/>
        <w:t>об оказании государственной поддержки, который должен содержать: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30"/>
        </w:rPr>
        <w:t>1</w:t>
      </w:r>
    </w:p>
    <w:p>
      <w:pPr>
        <w:pStyle w:val="Normal"/>
        <w:widowControl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цели и условия предоставления субсидий;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30"/>
        </w:rPr>
        <w:t>2</w:t>
      </w:r>
    </w:p>
    <w:p>
      <w:pPr>
        <w:pStyle w:val="Normal"/>
        <w:widowControl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размер и сроки предоставления субсидий;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30"/>
        </w:rPr>
        <w:t>3</w:t>
      </w:r>
    </w:p>
    <w:p>
      <w:pPr>
        <w:pStyle w:val="Normal"/>
        <w:widowControl/>
        <w:spacing w:before="0" w:after="283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порядок возврата субсидий в республиканский бюджет Республики Адыгея в случае нарушения условий договора об оказании государственной поддержки.</w:t>
      </w:r>
    </w:p>
    <w:p>
      <w:pPr>
        <w:pStyle w:val="Style15"/>
        <w:widowControl/>
        <w:spacing w:before="0" w:after="0"/>
        <w:ind w:left="0" w:right="0" w:hanging="0"/>
        <w:jc w:val="center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для обеспечения финансирования предоставляемых субсидий Министерство представляет в Министерство финансов Республики Адыгея реестр получателей субсидии.</w:t>
      </w:r>
    </w:p>
    <w:p>
      <w:pPr>
        <w:pStyle w:val="Style15"/>
        <w:spacing w:before="0" w:after="0"/>
        <w:ind w:left="0" w:right="0" w:hanging="0"/>
        <w:rPr/>
      </w:pPr>
      <w:r>
        <w:rPr/>
      </w:r>
    </w:p>
    <w:p>
      <w:pPr>
        <w:pStyle w:val="Style15"/>
        <w:widowControl/>
        <w:spacing w:before="0" w:after="0"/>
        <w:ind w:left="0" w:right="0" w:hanging="0"/>
        <w:jc w:val="center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0"/>
        </w:rPr>
        <w:t>Министерство не позднее 10 рабочих дней со дня представления реестра получателей субсидии в Министерство финансов Республики Адыгея перечисляет денежные средства на расчетные счета получателей субсидии.</w:t>
      </w:r>
    </w:p>
    <w:p>
      <w:pPr>
        <w:pStyle w:val="Style15"/>
        <w:widowControl/>
        <w:spacing w:before="0" w:after="140"/>
        <w:ind w:left="0" w:right="0" w:hanging="0"/>
        <w:rPr>
          <w:rStyle w:val="Style13"/>
          <w:rFonts w:ascii="Times New Roman" w:hAnsi="Times New Roman"/>
          <w:b/>
          <w:b/>
          <w:bCs/>
          <w:i w:val="false"/>
          <w:caps w:val="false"/>
          <w:smallCaps w:val="false"/>
          <w:color w:val="333333"/>
          <w:spacing w:val="0"/>
          <w:sz w:val="30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matic SC">
    <w:charset w:val="cc"/>
    <w:family w:val="auto"/>
    <w:pitch w:val="default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ovcom.pro/art/sobstvennyy_biznes_v_20_let__eto_realno&amp;_nts=deBJsKpvTiWAVWcm_1548665288352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LibreOffice/6.2.1.2$Windows_X86_64 LibreOffice_project/7bcb35dc3024a62dea0caee87020152d1ee96e71</Application>
  <Pages>6</Pages>
  <Words>919</Words>
  <Characters>6914</Characters>
  <CharactersWithSpaces>7778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2019-05-29T08:39:26Z</dcterms:created>
  <dc:creator/>
  <dc:description/>
  <dc:language>ru-RU</dc:language>
  <cp:lastModifiedBy/>
  <dcterms:modified xsi:type="dcterms:W3CDTF">2019-05-29T08:45:19Z</dcterms:modified>
  <cp:revision>1</cp:revision>
  <dc:subject/>
  <dc:title/>
</cp:coreProperties>
</file>